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4F51" w:rsidRDefault="00A04F51" w:rsidP="00A04F51">
      <w:pPr>
        <w:autoSpaceDE w:val="0"/>
        <w:autoSpaceDN w:val="0"/>
        <w:adjustRightInd w:val="0"/>
        <w:spacing w:after="0" w:line="480" w:lineRule="auto"/>
        <w:ind w:left="-1134" w:right="-709"/>
        <w:rPr>
          <w:rFonts w:asciiTheme="majorHAnsi" w:hAnsiTheme="majorHAnsi" w:cstheme="majorBidi"/>
          <w:color w:val="000000" w:themeColor="text1"/>
          <w:sz w:val="24"/>
          <w:szCs w:val="23"/>
          <w:lang w:val="en-US"/>
        </w:rPr>
      </w:pPr>
      <w:bookmarkStart w:id="0" w:name="_GoBack"/>
      <w:r>
        <w:rPr>
          <w:rFonts w:asciiTheme="majorHAnsi" w:hAnsiTheme="majorHAnsi" w:cstheme="majorBidi"/>
          <w:b/>
          <w:bCs/>
          <w:color w:val="000000" w:themeColor="text1"/>
          <w:sz w:val="24"/>
          <w:szCs w:val="23"/>
          <w:lang w:val="en-US"/>
        </w:rPr>
        <w:t xml:space="preserve">Table 3 </w:t>
      </w:r>
      <w:r>
        <w:rPr>
          <w:rFonts w:asciiTheme="majorHAnsi" w:hAnsiTheme="majorHAnsi" w:cstheme="majorBidi"/>
          <w:color w:val="000000" w:themeColor="text1"/>
          <w:sz w:val="24"/>
          <w:szCs w:val="23"/>
          <w:lang w:val="en-US"/>
        </w:rPr>
        <w:t>Results</w:t>
      </w:r>
      <w:r>
        <w:rPr>
          <w:rFonts w:asciiTheme="majorHAnsi" w:hAnsiTheme="majorHAnsi" w:cstheme="minorHAnsi"/>
          <w:color w:val="000000" w:themeColor="text1"/>
          <w:sz w:val="24"/>
          <w:szCs w:val="24"/>
          <w:lang w:val="en-US"/>
        </w:rPr>
        <w:t xml:space="preserve"> of published studies on the association between five genes and ischemic stroke in Morocco</w:t>
      </w:r>
      <w:r>
        <w:rPr>
          <w:rFonts w:asciiTheme="majorHAnsi" w:hAnsiTheme="majorHAnsi" w:cstheme="majorBidi"/>
          <w:color w:val="000000" w:themeColor="text1"/>
          <w:sz w:val="24"/>
          <w:szCs w:val="23"/>
          <w:lang w:val="en-US"/>
        </w:rPr>
        <w:t xml:space="preserve"> </w:t>
      </w:r>
    </w:p>
    <w:tbl>
      <w:tblPr>
        <w:tblStyle w:val="Ombrageclair2"/>
        <w:tblpPr w:leftFromText="141" w:rightFromText="141" w:vertAnchor="text" w:horzAnchor="margin" w:tblpXSpec="center" w:tblpY="85"/>
        <w:tblW w:w="1180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384"/>
        <w:gridCol w:w="851"/>
        <w:gridCol w:w="850"/>
        <w:gridCol w:w="1061"/>
        <w:gridCol w:w="1135"/>
        <w:gridCol w:w="2269"/>
        <w:gridCol w:w="1135"/>
        <w:gridCol w:w="1985"/>
        <w:gridCol w:w="1135"/>
      </w:tblGrid>
      <w:tr w:rsidR="00A04F51" w:rsidTr="00A04F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bookmarkEnd w:id="0"/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  <w:t xml:space="preserve">Study  </w:t>
            </w:r>
          </w:p>
        </w:tc>
        <w:tc>
          <w:tcPr>
            <w:tcW w:w="851" w:type="dxa"/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  <w:t>C</w:t>
            </w: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</w:rPr>
              <w:t>ases</w:t>
            </w:r>
          </w:p>
        </w:tc>
        <w:tc>
          <w:tcPr>
            <w:tcW w:w="850" w:type="dxa"/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  <w:t>Controls</w:t>
            </w:r>
          </w:p>
        </w:tc>
        <w:tc>
          <w:tcPr>
            <w:tcW w:w="1060" w:type="dxa"/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  <w:t>Genes</w:t>
            </w:r>
          </w:p>
        </w:tc>
        <w:tc>
          <w:tcPr>
            <w:tcW w:w="1134" w:type="dxa"/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  <w:t>Mutations</w:t>
            </w:r>
          </w:p>
        </w:tc>
        <w:tc>
          <w:tcPr>
            <w:tcW w:w="2268" w:type="dxa"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  <w:t>Methods</w:t>
            </w:r>
          </w:p>
        </w:tc>
        <w:tc>
          <w:tcPr>
            <w:tcW w:w="1984" w:type="dxa"/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  <w:t>Odds Ratio  95% (CI)</w:t>
            </w:r>
          </w:p>
        </w:tc>
        <w:tc>
          <w:tcPr>
            <w:tcW w:w="1134" w:type="dxa"/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  <w:t>P v</w:t>
            </w: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Theme="majorHAnsi" w:hAnsiTheme="majorHAnsi" w:cstheme="majorBidi"/>
                <w:color w:val="000000" w:themeColor="text1"/>
                <w:sz w:val="20"/>
                <w:szCs w:val="20"/>
                <w:lang w:val="en-US"/>
              </w:rPr>
              <w:t>lue</w:t>
            </w:r>
          </w:p>
        </w:tc>
      </w:tr>
      <w:tr w:rsidR="00A04F51" w:rsidTr="00A04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They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TP et al.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</w:rPr>
              <w:t>,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 xml:space="preserve"> 2011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instrText xml:space="preserve"> ADDIN EN.CITE &lt;EndNote&gt;&lt;Cite&gt;&lt;Author&gt;They‐They&lt;/Author&gt;&lt;Year&gt;2011&lt;/Year&gt;&lt;RecNum&gt;27&lt;/RecNum&gt;&lt;DisplayText&gt;[33]&lt;/DisplayText&gt;&lt;record&gt;&lt;rec-number&gt;27&lt;/rec-number&gt;&lt;foreign-keys&gt;&lt;key app="EN" db-id="dxs5zxzryxx5x3eaeduvwfd3pv25xww22pxp" timestamp="1540496463"&gt;27&lt;/key&gt;&lt;/foreign-keys&gt;&lt;ref-type name="Journal Article"&gt;17&lt;/ref-type&gt;&lt;contributors&gt;&lt;authors&gt;&lt;author&gt;They‐They, TP&lt;/author&gt;&lt;author&gt;Nadifi, S&lt;/author&gt;&lt;author&gt;Rafai, MA&lt;/author&gt;&lt;author&gt;Battas, O&lt;/author&gt;&lt;author&gt;Slassi, I&lt;/author&gt;&lt;/authors&gt;&lt;/contributors&gt;&lt;titles&gt;&lt;title&gt;Methylenehydrofolate reductase (C677T) polymorphism and large artery ischemic stroke subtypes&lt;/title&gt;&lt;secondary-title&gt;Acta Neurologica Scandinavica&lt;/secondary-title&gt;&lt;/titles&gt;&lt;periodical&gt;&lt;full-title&gt;Acta Neurologica Scandinavica&lt;/full-title&gt;&lt;/periodical&gt;&lt;pages&gt;105-110&lt;/pages&gt;&lt;volume&gt;123&lt;/volume&gt;&lt;number&gt;2&lt;/number&gt;&lt;dates&gt;&lt;year&gt;2011&lt;/year&gt;&lt;/dates&gt;&lt;isbn&gt;0001-6314&lt;/isbn&gt;&lt;urls&gt;&lt;/urls&gt;&lt;/record&gt;&lt;/Cite&gt;&lt;/EndNote&gt;</w:instrTex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Theme="majorHAnsi" w:hAnsiTheme="majorHAnsi" w:cstheme="majorBidi"/>
                <w:noProof/>
                <w:color w:val="000000" w:themeColor="text1"/>
                <w:sz w:val="18"/>
                <w:szCs w:val="18"/>
                <w:lang w:val="en-US"/>
              </w:rPr>
              <w:t>[33]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91</w:t>
            </w:r>
          </w:p>
        </w:tc>
        <w:tc>
          <w:tcPr>
            <w:tcW w:w="850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182</w:t>
            </w:r>
          </w:p>
        </w:tc>
        <w:tc>
          <w:tcPr>
            <w:tcW w:w="1060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  <w:t>MTHFR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  <w:t>C677T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T allele  and Stroke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PCR</w:t>
            </w: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1.1 (0.59–2.04)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0.303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vertAlign w:val="superscript"/>
              </w:rPr>
              <w:t>Ω</w:t>
            </w:r>
          </w:p>
        </w:tc>
      </w:tr>
      <w:tr w:rsidR="00A04F51" w:rsidTr="00A04F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T allele and atherothrombotic subtype stroke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 xml:space="preserve">2.1 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1.17–3.8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0.012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vertAlign w:val="superscript"/>
              </w:rPr>
              <w:t>Ω</w:t>
            </w:r>
          </w:p>
        </w:tc>
      </w:tr>
      <w:tr w:rsidR="00A04F51" w:rsidTr="00A04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They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TP et al.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</w:rPr>
              <w:t>,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 xml:space="preserve"> 2013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instrText xml:space="preserve"> ADDIN EN.CITE &lt;EndNote&gt;&lt;Cite&gt;&lt;Author&gt;They-They&lt;/Author&gt;&lt;Year&gt;2013&lt;/Year&gt;&lt;RecNum&gt;28&lt;/RecNum&gt;&lt;DisplayText&gt;[34]&lt;/DisplayText&gt;&lt;record&gt;&lt;rec-number&gt;28&lt;/rec-number&gt;&lt;foreign-keys&gt;&lt;key app="EN" db-id="dxs5zxzryxx5x3eaeduvwfd3pv25xww22pxp" timestamp="1540496463"&gt;28&lt;/key&gt;&lt;/foreign-keys&gt;&lt;ref-type name="Journal Article"&gt;17&lt;/ref-type&gt;&lt;contributors&gt;&lt;authors&gt;&lt;author&gt;They-They, Thierry Paluku&lt;/author&gt;&lt;author&gt;Battas, Omar&lt;/author&gt;&lt;author&gt;Nadifi, Sellama&lt;/author&gt;&lt;/authors&gt;&lt;/contributors&gt;&lt;titles&gt;&lt;title&gt;Synergistic effect of MTHFR C677T and F2 G20210A polymorphisms on ischemic stroke&lt;/title&gt;&lt;secondary-title&gt;Neuroscience bulletin&lt;/secondary-title&gt;&lt;/titles&gt;&lt;periodical&gt;&lt;full-title&gt;Neuroscience bulletin&lt;/full-title&gt;&lt;/periodical&gt;&lt;pages&gt;725-730&lt;/pages&gt;&lt;volume&gt;29&lt;/volume&gt;&lt;number&gt;6&lt;/number&gt;&lt;dates&gt;&lt;year&gt;2013&lt;/year&gt;&lt;/dates&gt;&lt;isbn&gt;1673-7067&lt;/isbn&gt;&lt;urls&gt;&lt;/urls&gt;&lt;/record&gt;&lt;/Cite&gt;&lt;/EndNote&gt;</w:instrTex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Theme="majorHAnsi" w:hAnsiTheme="majorHAnsi" w:cstheme="majorBidi"/>
                <w:noProof/>
                <w:color w:val="000000" w:themeColor="text1"/>
                <w:sz w:val="18"/>
                <w:szCs w:val="18"/>
                <w:lang w:val="en-US"/>
              </w:rPr>
              <w:t>[34]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91</w:t>
            </w:r>
          </w:p>
        </w:tc>
        <w:tc>
          <w:tcPr>
            <w:tcW w:w="850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182</w:t>
            </w:r>
          </w:p>
        </w:tc>
        <w:tc>
          <w:tcPr>
            <w:tcW w:w="1060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  <w:t>MTHFR</w:t>
            </w: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  <w:t>F2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  <w:t>C677T</w:t>
            </w: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  <w:t>G20210A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Univariate</w:t>
            </w: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multivariate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PCR-RFLP</w:t>
            </w: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4.99 (1.75–14.2)</w:t>
            </w: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5.29 (1.63–17.1)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 xml:space="preserve"> 0.001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vertAlign w:val="superscript"/>
              </w:rPr>
              <w:t>+</w:t>
            </w: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 xml:space="preserve"> 0.005+</w:t>
            </w:r>
          </w:p>
        </w:tc>
      </w:tr>
      <w:tr w:rsidR="00A04F51" w:rsidTr="00A04F51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</w:rPr>
              <w:t>Diakite, B et al., 2014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fldChar w:fldCharType="begin"/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&lt;EndNote&gt;&lt;Cite&gt;&lt;Author&gt;Diakite&lt;/Author&gt;&lt;Year&gt;2014&lt;/Year&gt;&lt;RecNum&gt;15&lt;/RecNum&gt;&lt;DisplayText&gt;[27]&lt;/DisplayText&gt;&lt;record&gt;&lt;rec-number&gt;15&lt;/rec-number&gt;&lt;foreign-keys&gt;&lt;key app="EN" db-id="dxs5zxzryxx5x3eaeduvwfd3pv25xww22pxp" timestamp="1540496463"&gt;15&lt;/key&gt;&lt;/foreign-keys&gt;&lt;ref-type name="Journal Article"&gt;17&lt;/ref-type&gt;&lt;contributors&gt;&lt;authors&gt;&lt;author&gt;Diakite, Brehima&lt;/author&gt;&lt;author&gt;Hamzi, Khalil&lt;/author&gt;&lt;author&gt;Slassi, Ilham&lt;/author&gt;&lt;author&gt;Yahyaoui, Mohammed EL&lt;/author&gt;&lt;author&gt;Alaoui, Moulay MF EL&lt;/author&gt;&lt;author&gt;Habbal, Rachida&lt;/author&gt;&lt;author&gt;Sellama, Nadifi&lt;/author&gt;&lt;/authors&gt;&lt;/contributors&gt;&lt;titles&gt;&lt;title&gt;G894T endothelial nitric oxide synthase polymorphism and ischemic stroke in Morocco&lt;/title&gt;&lt;secondary-title&gt;Meta gene&lt;/secondary-title&gt;&lt;/titles&gt;&lt;periodical&gt;&lt;full-title&gt;Meta gene&lt;/full-title&gt;&lt;/periodical&gt;&lt;pages&gt;349-357&lt;/pages&gt;&lt;volume&gt;2&lt;/volume&gt;&lt;dates&gt;&lt;year&gt;2014&lt;/year&gt;&lt;/dates&gt;&lt;isbn&gt;2214-5400&lt;/isbn&gt;&lt;urls&gt;&lt;/urls&gt;&lt;/record&gt;&lt;/Cite&gt;&lt;/EndNote&gt;</w:instrTex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fldChar w:fldCharType="separate"/>
            </w:r>
            <w:r>
              <w:rPr>
                <w:rFonts w:asciiTheme="majorHAnsi" w:hAnsiTheme="majorHAnsi" w:cstheme="majorBidi"/>
                <w:noProof/>
                <w:color w:val="000000" w:themeColor="text1"/>
                <w:sz w:val="18"/>
                <w:szCs w:val="18"/>
              </w:rPr>
              <w:t>[27]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165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182</w:t>
            </w:r>
          </w:p>
        </w:tc>
        <w:tc>
          <w:tcPr>
            <w:tcW w:w="106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  <w:t>eNOS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  <w:t>G894T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Recessive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PCR-RFLP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2,68 (1,08-6,70)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&lt; 0,05*</w:t>
            </w:r>
          </w:p>
        </w:tc>
      </w:tr>
      <w:tr w:rsidR="00A04F51" w:rsidTr="00A04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Dominant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1.78 (1,16–2,73)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</w:tr>
      <w:tr w:rsidR="00A04F51" w:rsidTr="00A04F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Additive models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1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71 (1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,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21–2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,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43)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</w:tr>
      <w:tr w:rsidR="00A04F51" w:rsidTr="00A04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Diakite, B et al.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 xml:space="preserve"> 2015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instrText xml:space="preserve"> ADDIN EN.CITE &lt;EndNote&gt;&lt;Cite&gt;&lt;Author&gt;Diakite&lt;/Author&gt;&lt;Year&gt;2015&lt;/Year&gt;&lt;RecNum&gt;13&lt;/RecNum&gt;&lt;DisplayText&gt;[25]&lt;/DisplayText&gt;&lt;record&gt;&lt;rec-number&gt;13&lt;/rec-number&gt;&lt;foreign-keys&gt;&lt;key app="EN" db-id="dxs5zxzryxx5x3eaeduvwfd3pv25xww22pxp" timestamp="1540496463"&gt;13&lt;/key&gt;&lt;/foreign-keys&gt;&lt;ref-type name="Journal Article"&gt;17&lt;/ref-type&gt;&lt;contributors&gt;&lt;authors&gt;&lt;author&gt;Diakite, Brehima&lt;/author&gt;&lt;author&gt;Hamzi, Khalil&lt;/author&gt;&lt;author&gt;Hmimech, Wiam&lt;/author&gt;&lt;author&gt;Nadifi, Sellama&lt;/author&gt;&lt;/authors&gt;&lt;/contributors&gt;&lt;titles&gt;&lt;title&gt;First study of C2491T FV mutation with ischaemic stroke risk in Morocco&lt;/title&gt;&lt;secondary-title&gt;Journal of genetics&lt;/secondary-title&gt;&lt;/titles&gt;&lt;periodical&gt;&lt;full-title&gt;Journal of genetics&lt;/full-title&gt;&lt;/periodical&gt;&lt;pages&gt;313-315&lt;/pages&gt;&lt;volume&gt;94&lt;/volume&gt;&lt;number&gt;2&lt;/number&gt;&lt;dates&gt;&lt;year&gt;2015&lt;/year&gt;&lt;/dates&gt;&lt;isbn&gt;0022-1333&lt;/isbn&gt;&lt;urls&gt;&lt;/urls&gt;&lt;/record&gt;&lt;/Cite&gt;&lt;/EndNote&gt;</w:instrTex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Theme="majorHAnsi" w:hAnsiTheme="majorHAnsi" w:cstheme="majorBidi"/>
                <w:noProof/>
                <w:color w:val="000000" w:themeColor="text1"/>
                <w:sz w:val="18"/>
                <w:szCs w:val="18"/>
                <w:lang w:val="en-US"/>
              </w:rPr>
              <w:t>[25]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170</w:t>
            </w:r>
          </w:p>
        </w:tc>
        <w:tc>
          <w:tcPr>
            <w:tcW w:w="850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211</w:t>
            </w:r>
          </w:p>
        </w:tc>
        <w:tc>
          <w:tcPr>
            <w:tcW w:w="1060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  <w:t>FV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  <w:t>C2491T</w:t>
            </w: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T allèle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PCR-RFLP</w:t>
            </w: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3.77 (2.70–5.25)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&lt; 0.0001*</w:t>
            </w:r>
          </w:p>
        </w:tc>
      </w:tr>
      <w:tr w:rsidR="00A04F51" w:rsidTr="00A04F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CT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4.08 (2.55–6.49)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04F51" w:rsidTr="00A04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TT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8.95 (4.15–19.29)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04F51" w:rsidTr="00A04F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Diakite, B et al.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</w:rPr>
              <w:t>,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 xml:space="preserve"> 2016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instrText xml:space="preserve"> ADDIN EN.CITE &lt;EndNote&gt;&lt;Cite&gt;&lt;Author&gt;Diakite&lt;/Author&gt;&lt;Year&gt;2016&lt;/Year&gt;&lt;RecNum&gt;14&lt;/RecNum&gt;&lt;DisplayText&gt;[26]&lt;/DisplayText&gt;&lt;record&gt;&lt;rec-number&gt;14&lt;/rec-number&gt;&lt;foreign-keys&gt;&lt;key app="EN" db-id="dxs5zxzryxx5x3eaeduvwfd3pv25xww22pxp" timestamp="1540496463"&gt;14&lt;/key&gt;&lt;/foreign-keys&gt;&lt;ref-type name="Journal Article"&gt;17&lt;/ref-type&gt;&lt;contributors&gt;&lt;authors&gt;&lt;author&gt;Diakite, Brehima&lt;/author&gt;&lt;author&gt;Hamzi, Khalil&lt;/author&gt;&lt;author&gt;Hmimech, Wiam&lt;/author&gt;&lt;author&gt;Nadifi, Sellama&lt;/author&gt;&lt;/authors&gt;&lt;/contributors&gt;&lt;titles&gt;&lt;title&gt;Genetic polymorphisms of T-1131C APOA5 and ALOX5AP SG13S114 with the susceptibility of ischaemic stroke in Morocco&lt;/title&gt;&lt;secondary-title&gt;Journal of genetics&lt;/secondary-title&gt;&lt;/titles&gt;&lt;periodical&gt;&lt;full-title&gt;Journal of genetics&lt;/full-title&gt;&lt;/periodical&gt;&lt;pages&gt;303-309&lt;/pages&gt;&lt;volume&gt;95&lt;/volume&gt;&lt;number&gt;2&lt;/number&gt;&lt;dates&gt;&lt;year&gt;2016&lt;/year&gt;&lt;/dates&gt;&lt;isbn&gt;0022-1333&lt;/isbn&gt;&lt;urls&gt;&lt;/urls&gt;&lt;/record&gt;&lt;/Cite&gt;&lt;/EndNote&gt;</w:instrTex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Theme="majorHAnsi" w:hAnsiTheme="majorHAnsi" w:cstheme="majorBidi"/>
                <w:noProof/>
                <w:color w:val="000000" w:themeColor="text1"/>
                <w:sz w:val="18"/>
                <w:szCs w:val="18"/>
                <w:lang w:val="en-US"/>
              </w:rPr>
              <w:t>[26]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175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201</w:t>
            </w:r>
          </w:p>
        </w:tc>
        <w:tc>
          <w:tcPr>
            <w:tcW w:w="106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  <w:t>APOA5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  <w:t>T1131C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CC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PCR-RFLP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2.86 (1.24–6.58)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 xml:space="preserve">0.014 </w:t>
            </w:r>
            <w:r>
              <w:rPr>
                <w:rFonts w:ascii="Cambria Math" w:hAnsi="Cambria Math" w:cs="Cambria Math"/>
                <w:color w:val="000000" w:themeColor="text1"/>
                <w:sz w:val="18"/>
                <w:szCs w:val="18"/>
                <w:vertAlign w:val="superscript"/>
                <w:lang w:val="en-US"/>
              </w:rPr>
              <w:t>⋿</w:t>
            </w:r>
          </w:p>
        </w:tc>
      </w:tr>
      <w:tr w:rsidR="00A04F51" w:rsidTr="00A04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C allele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1.54 (1.01–2.33)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04F51" w:rsidTr="00A04F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  <w:t>ALOX5AP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  <w:t>SG13S114</w:t>
            </w: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TT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PCR-RFLP</w:t>
            </w:r>
          </w:p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2.57 (1.49–4.83)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 xml:space="preserve">0.009 </w:t>
            </w:r>
            <w:r>
              <w:rPr>
                <w:rFonts w:ascii="Cambria Math" w:hAnsi="Cambria Math" w:cs="Cambria Math"/>
                <w:color w:val="000000" w:themeColor="text1"/>
                <w:sz w:val="18"/>
                <w:szCs w:val="18"/>
                <w:vertAlign w:val="superscript"/>
                <w:lang w:val="en-US"/>
              </w:rPr>
              <w:t>⋿</w:t>
            </w:r>
          </w:p>
        </w:tc>
      </w:tr>
      <w:tr w:rsidR="00A04F51" w:rsidTr="00A04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b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t>T allele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  <w:hideMark/>
          </w:tcPr>
          <w:p w:rsidR="00A04F51" w:rsidRDefault="00A04F5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1.59 (1.16–2.19)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0.008</w:t>
            </w:r>
            <w:r>
              <w:rPr>
                <w:rFonts w:ascii="Cambria Math" w:hAnsi="Cambria Math" w:cs="Cambria Math"/>
                <w:color w:val="000000" w:themeColor="text1"/>
                <w:sz w:val="18"/>
                <w:szCs w:val="18"/>
                <w:vertAlign w:val="superscript"/>
                <w:lang w:val="en-US"/>
              </w:rPr>
              <w:t xml:space="preserve"> ⋿</w:t>
            </w:r>
          </w:p>
        </w:tc>
      </w:tr>
      <w:tr w:rsidR="00A04F51" w:rsidTr="00A04F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</w:rPr>
              <w:t xml:space="preserve">Balar, K et 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  <w:lang w:bidi="ar-MA"/>
              </w:rPr>
              <w:t>al</w:t>
            </w:r>
            <w:r>
              <w:rPr>
                <w:rFonts w:asciiTheme="majorHAnsi" w:hAnsiTheme="majorHAnsi" w:cstheme="majorBidi"/>
                <w:b w:val="0"/>
                <w:bCs w:val="0"/>
                <w:color w:val="000000" w:themeColor="text1"/>
                <w:sz w:val="18"/>
                <w:szCs w:val="18"/>
              </w:rPr>
              <w:t xml:space="preserve">.,  2014 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begin"/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instrText xml:space="preserve"> ADDIN EN.CITE &lt;EndNote&gt;&lt;Cite&gt;&lt;Author&gt;BALAR&lt;/Author&gt;&lt;Year&gt;2014&lt;/Year&gt;&lt;RecNum&gt;30&lt;/RecNum&gt;&lt;DisplayText&gt;[16]&lt;/DisplayText&gt;&lt;record&gt;&lt;rec-number&gt;30&lt;/rec-number&gt;&lt;foreign-keys&gt;&lt;key app="EN" db-id="dxs5zxzryxx5x3eaeduvwfd3pv25xww22pxp" timestamp="1540571688"&gt;30&lt;/key&gt;&lt;/foreign-keys&gt;&lt;ref-type name="Journal Article"&gt;17&lt;/ref-type&gt;&lt;contributors&gt;&lt;authors&gt;&lt;author&gt;BALAR, Khalid&lt;/author&gt;&lt;author&gt;NADIFI, Sellama&lt;/author&gt;&lt;/authors&gt;&lt;/contributors&gt;&lt;titles&gt;&lt;title&gt;Correlation between MTHFR and Clinical Risk Factors in Ischemic Stroke&lt;/title&gt;&lt;/titles&gt;&lt;dates&gt;&lt;year&gt;2014&lt;/year&gt;&lt;/dates&gt;&lt;urls&gt;&lt;/urls&gt;&lt;/record&gt;&lt;/Cite&gt;&lt;/EndNote&gt;</w:instrTex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Theme="majorHAnsi" w:hAnsiTheme="majorHAnsi" w:cstheme="majorBidi"/>
                <w:noProof/>
                <w:color w:val="000000" w:themeColor="text1"/>
                <w:sz w:val="18"/>
                <w:szCs w:val="18"/>
              </w:rPr>
              <w:t>[16]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165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i/>
                <w:iCs/>
                <w:color w:val="000000" w:themeColor="text1"/>
                <w:sz w:val="18"/>
                <w:szCs w:val="18"/>
              </w:rPr>
              <w:t>MTHFR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 xml:space="preserve">Facteurs de risque 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vertAlign w:val="superscript"/>
              </w:rPr>
              <w:t>‡</w:t>
            </w: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CT/TT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A04F51" w:rsidRDefault="00A04F51">
            <w:pPr>
              <w:autoSpaceDE w:val="0"/>
              <w:autoSpaceDN w:val="0"/>
              <w:adjustRightInd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Bid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18"/>
                <w:szCs w:val="18"/>
              </w:rPr>
              <w:t>NS ^</w:t>
            </w:r>
          </w:p>
        </w:tc>
      </w:tr>
    </w:tbl>
    <w:p w:rsidR="00A04F51" w:rsidRDefault="00A04F51" w:rsidP="00A04F51">
      <w:pPr>
        <w:autoSpaceDE w:val="0"/>
        <w:autoSpaceDN w:val="0"/>
        <w:adjustRightInd w:val="0"/>
        <w:spacing w:after="0" w:line="240" w:lineRule="auto"/>
        <w:ind w:left="-1276" w:right="-1136"/>
        <w:jc w:val="both"/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</w:pP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>PCR-RFLP:</w:t>
      </w:r>
      <w:r>
        <w:rPr>
          <w:rFonts w:asciiTheme="majorHAnsi" w:hAnsiTheme="majorHAnsi" w:cstheme="majorBidi"/>
          <w:b/>
          <w:bCs/>
          <w:color w:val="000000" w:themeColor="text1"/>
          <w:sz w:val="20"/>
          <w:szCs w:val="20"/>
          <w:lang w:val="en-US" w:bidi="ar-MA"/>
        </w:rPr>
        <w:t xml:space="preserve"> 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>Polymerase Chain Reaction-Restriction Fragment Length Polymorphism</w:t>
      </w:r>
      <w:r>
        <w:rPr>
          <w:rFonts w:asciiTheme="majorHAnsi" w:hAnsiTheme="majorHAnsi" w:cstheme="majorBidi"/>
          <w:b/>
          <w:bCs/>
          <w:color w:val="000000" w:themeColor="text1"/>
          <w:sz w:val="20"/>
          <w:szCs w:val="20"/>
          <w:lang w:val="en-US" w:bidi="ar-MA"/>
        </w:rPr>
        <w:t xml:space="preserve">, </w:t>
      </w:r>
      <w:r>
        <w:rPr>
          <w:rFonts w:asciiTheme="majorHAnsi" w:hAnsiTheme="majorHAnsi" w:cstheme="majorBidi"/>
          <w:b/>
          <w:bCs/>
          <w:color w:val="000000" w:themeColor="text1"/>
          <w:sz w:val="20"/>
          <w:szCs w:val="20"/>
          <w:vertAlign w:val="superscript"/>
          <w:lang w:val="en-US" w:bidi="ar-MA"/>
        </w:rPr>
        <w:t>*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 xml:space="preserve"> Synergistic effect of MTHFR C677T and F2 G20210A polymorphisms on ischemic stroke. </w:t>
      </w:r>
      <w:r>
        <w:rPr>
          <w:rFonts w:asciiTheme="majorHAnsi" w:hAnsiTheme="majorHAnsi" w:cstheme="majorBidi"/>
          <w:color w:val="000000" w:themeColor="text1"/>
          <w:sz w:val="20"/>
          <w:szCs w:val="20"/>
          <w:vertAlign w:val="superscript"/>
          <w:lang w:val="en-US"/>
        </w:rPr>
        <w:t>†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 xml:space="preserve">Prospective study, </w:t>
      </w:r>
      <w:r>
        <w:rPr>
          <w:rFonts w:asciiTheme="majorHAnsi" w:hAnsiTheme="majorHAnsi" w:cstheme="majorBidi"/>
          <w:color w:val="000000" w:themeColor="text1"/>
          <w:sz w:val="20"/>
          <w:szCs w:val="20"/>
          <w:vertAlign w:val="superscript"/>
          <w:lang w:val="en-US"/>
        </w:rPr>
        <w:t>‡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 xml:space="preserve"> Age/Diabetes/High Blood Pressure/Smoking/</w:t>
      </w:r>
      <w:r>
        <w:rPr>
          <w:rFonts w:asciiTheme="majorHAnsi" w:hAnsiTheme="majorHAnsi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>Alcoholism/ Cholesterol</w:t>
      </w:r>
      <w:r>
        <w:rPr>
          <w:rFonts w:asciiTheme="majorHAnsi" w:hAnsiTheme="majorHAnsi" w:cstheme="majorBidi"/>
          <w:color w:val="000000" w:themeColor="text1"/>
          <w:lang w:val="en-US" w:bidi="ar-MA"/>
        </w:rPr>
        <w:t>,</w:t>
      </w:r>
      <w:r>
        <w:rPr>
          <w:rFonts w:asciiTheme="majorHAnsi" w:hAnsiTheme="majorHAnsi" w:cstheme="majorBidi"/>
          <w:color w:val="000000" w:themeColor="text1"/>
          <w:lang w:val="en-US"/>
        </w:rPr>
        <w:t xml:space="preserve"> 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>NS: Not significant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 w:bidi="ar-MA"/>
        </w:rPr>
        <w:t xml:space="preserve">, </w:t>
      </w:r>
      <w:r>
        <w:rPr>
          <w:rFonts w:asciiTheme="majorHAnsi" w:hAnsiTheme="majorHAnsi" w:cstheme="majorBidi"/>
          <w:color w:val="000000" w:themeColor="text1"/>
          <w:sz w:val="18"/>
          <w:szCs w:val="18"/>
          <w:vertAlign w:val="superscript"/>
          <w:lang w:val="en-US"/>
        </w:rPr>
        <w:t xml:space="preserve">Ω 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 xml:space="preserve">Hardy– Weinberg equilibrium tests were performed for MTHFR C677T polymorphism separately among cases and controls with the use of Fisher’s exact test, +Fischer’s exact test, * The law of the genotype distribution for G894T eNOS polymorphism among disease cases and controls were performed with Hardy–Weinberg equilibrium test with the use of χ2 test, </w:t>
      </w:r>
      <w:r>
        <w:rPr>
          <w:rFonts w:ascii="Cambria Math" w:hAnsi="Cambria Math" w:cs="Cambria Math"/>
          <w:color w:val="000000" w:themeColor="text1"/>
          <w:sz w:val="18"/>
          <w:szCs w:val="18"/>
          <w:vertAlign w:val="superscript"/>
          <w:lang w:val="en-US"/>
        </w:rPr>
        <w:t>⋿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 xml:space="preserve"> Hardy–Weinberg equilibrium test with the use of χ2 test or Fisher test, </w:t>
      </w:r>
      <w:r>
        <w:rPr>
          <w:rFonts w:asciiTheme="majorHAnsi" w:hAnsiTheme="majorHAnsi" w:cstheme="majorBidi"/>
          <w:color w:val="000000" w:themeColor="text1"/>
          <w:sz w:val="18"/>
          <w:szCs w:val="18"/>
          <w:lang w:val="en-US"/>
        </w:rPr>
        <w:t>^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 xml:space="preserve"> the multivariate analysis (logistic regression)</w:t>
      </w:r>
    </w:p>
    <w:p w:rsidR="004F4F6D" w:rsidRDefault="004F4F6D"/>
    <w:sectPr w:rsidR="004F4F6D" w:rsidSect="004F4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04F51"/>
    <w:rsid w:val="00131F82"/>
    <w:rsid w:val="004F4F6D"/>
    <w:rsid w:val="00A04F51"/>
    <w:rsid w:val="00B84539"/>
    <w:rsid w:val="00BF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C3ECC2-DE69-4667-A18E-30BD4612B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F51"/>
    <w:pPr>
      <w:spacing w:after="200" w:line="276" w:lineRule="auto"/>
    </w:pPr>
    <w:rPr>
      <w:rFonts w:eastAsiaTheme="minorEastAsia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Ombrageclair2">
    <w:name w:val="Ombrage clair2"/>
    <w:basedOn w:val="TableNormal"/>
    <w:uiPriority w:val="60"/>
    <w:rsid w:val="00A04F51"/>
    <w:pPr>
      <w:spacing w:after="0" w:line="240" w:lineRule="auto"/>
    </w:pPr>
    <w:rPr>
      <w:rFonts w:eastAsiaTheme="minorEastAsia"/>
      <w:color w:val="000000" w:themeColor="text1" w:themeShade="BF"/>
      <w:lang w:val="fr-FR" w:eastAsia="fr-FR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6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1050</Words>
  <Characters>5989</Characters>
  <Application>Microsoft Office Word</Application>
  <DocSecurity>0</DocSecurity>
  <Lines>49</Lines>
  <Paragraphs>14</Paragraphs>
  <ScaleCrop>false</ScaleCrop>
  <Company/>
  <LinksUpToDate>false</LinksUpToDate>
  <CharactersWithSpaces>7025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</cp:lastModifiedBy>
  <cp:revision>1</cp:revision>
  <dcterms:created xsi:type="dcterms:W3CDTF">2019-12-03T20:10:00Z</dcterms:created>
  <dcterms:modified xsi:type="dcterms:W3CDTF">2019-12-03T20:10:00Z</dcterms:modified>
</cp:coreProperties>
</file>